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05" w:rsidRDefault="00B91695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Formularz </w:t>
      </w:r>
    </w:p>
    <w:p w:rsidR="00084805" w:rsidRPr="004C3DD8" w:rsidRDefault="00B91695">
      <w:pPr>
        <w:ind w:left="360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  <w:r w:rsidRPr="004C3DD8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I.1. Zestaw komputerowy z oprogramowaniem</w:t>
      </w:r>
      <w:r w:rsidR="00F84B98" w:rsidRPr="004C3DD8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 xml:space="preserve"> – 21 sztuk</w:t>
      </w:r>
      <w:r w:rsidRPr="004C3DD8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 xml:space="preserve"> </w:t>
      </w:r>
    </w:p>
    <w:tbl>
      <w:tblPr>
        <w:tblW w:w="9792" w:type="dxa"/>
        <w:tblInd w:w="1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2331"/>
        <w:gridCol w:w="2977"/>
        <w:gridCol w:w="2869"/>
      </w:tblGrid>
      <w:tr w:rsidR="00084805" w:rsidTr="00DA3BBD"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Wymagania</w:t>
            </w:r>
            <w:bookmarkStart w:id="0" w:name="_GoBack"/>
            <w:bookmarkEnd w:id="0"/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Parametry oferowanego urządzenia</w:t>
            </w:r>
          </w:p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Producent i model komputera</w:t>
            </w:r>
          </w:p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……………………………….</w:t>
            </w:r>
          </w:p>
        </w:tc>
      </w:tr>
      <w:tr w:rsidR="00084805" w:rsidTr="00DA3BBD"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DA3BB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 klasy x86, 64 bitowy, min. 4 rdzeni, min. 4 wątków,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uzyskujący wynik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Average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CPU Mark” co najmniej </w:t>
            </w:r>
            <w:r w:rsidR="00DA3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punktów w teście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CPU Mark według wyników procesorów publikowanych na stronie </w:t>
            </w:r>
            <w:hyperlink r:id="rId7">
              <w:r>
                <w:rPr>
                  <w:rStyle w:val="ListLabel182"/>
                  <w:rFonts w:eastAsia="Calibri"/>
                </w:rPr>
                <w:t>http://cpubenchmark.net/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dzień składania ofert; 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B91695" w:rsidP="00F84B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 xml:space="preserve">Producent i model procesora ………………. </w:t>
            </w:r>
          </w:p>
        </w:tc>
      </w:tr>
      <w:tr w:rsidR="00084805" w:rsidTr="00DA3BBD"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wyposażona w min. 1 wolny slot PCI-Express x16 (dopuszcza się złącza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Low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 Profile), 2 złącza DIMM, obsługa min do 16 GB DDR4 pamięci RAM, min. 3 złącza SATA3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rPr>
          <w:trHeight w:val="489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min. 8 GB DDR4, wolny slot umożliwiający rozbudowę do min. 16 GB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rPr>
          <w:trHeight w:val="135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min. 240 GB SSD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DA3BBD" w:rsidRDefault="00DA3BBD" w:rsidP="00F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DA3BB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20 sztuk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- DVD+/-RW;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Możliwa praca w pionie i poziomie.</w:t>
            </w:r>
          </w:p>
          <w:p w:rsidR="00084805" w:rsidRDefault="00DA3BBD" w:rsidP="00DA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DA3BB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1 sztuka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-</w:t>
            </w:r>
            <w:r w:rsidR="003A11E1" w:rsidRPr="0093676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z technologią </w:t>
            </w:r>
            <w:proofErr w:type="spellStart"/>
            <w:r w:rsidR="003A11E1" w:rsidRPr="0093676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Double</w:t>
            </w:r>
            <w:proofErr w:type="spellEnd"/>
            <w:r w:rsidR="003A11E1" w:rsidRPr="0093676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A11E1" w:rsidRPr="0093676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Layer</w:t>
            </w:r>
            <w:proofErr w:type="spellEnd"/>
            <w:r w:rsidR="003A11E1" w:rsidRPr="0093676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, odczyt z prędkością DVD ROM x16 lub większą, CD ROM x48 lub większą.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  <w:r w:rsidR="00B9169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Możliwa praca w pionie i poziomie.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Karta graficzna – UHD 630 lub równoważna, pamięć karty graficznej współdzielona z pamięcią RAM 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Producent i model karty graficznej ……………….</w:t>
            </w:r>
          </w:p>
        </w:tc>
      </w:tr>
      <w:tr w:rsidR="00084805" w:rsidTr="00DA3BBD">
        <w:trPr>
          <w:trHeight w:val="300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Karta dźwiękowa zintegrowana z płytą główną, zgodna z High Definition</w:t>
            </w:r>
            <w:r w:rsidR="003A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3A11E1" w:rsidRPr="009367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Zamontowany fabrycznie głośnik.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rPr>
          <w:trHeight w:val="195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bottom"/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Interfejs sieciowy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  <w:vAlign w:val="bottom"/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Wbudowana: 10/100/1000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Mbit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/s, Ethernet RJ 45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3A11E1" w:rsidTr="00DA3BBD">
        <w:trPr>
          <w:trHeight w:val="237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3A11E1" w:rsidRPr="00936769" w:rsidRDefault="003A11E1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93676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Karta </w:t>
            </w:r>
            <w:proofErr w:type="spellStart"/>
            <w:r w:rsidRPr="0093676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WiFi</w:t>
            </w:r>
            <w:proofErr w:type="spellEnd"/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3A11E1" w:rsidRPr="00936769" w:rsidRDefault="003A11E1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93676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802.11 b/g/n/</w:t>
            </w:r>
            <w:proofErr w:type="spellStart"/>
            <w:r w:rsidRPr="0093676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ac</w:t>
            </w:r>
            <w:proofErr w:type="spellEnd"/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11E1" w:rsidRDefault="003A11E1" w:rsidP="00F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Zewnętrzne porty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Wbudowane: min. 6 x USB w tym min. 2 x USB 3.0 z przodu obudowy, 1 x HDMI, 1 x VGA</w:t>
            </w:r>
          </w:p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Wymagana ilość portów nie może być uzyskana poprzez stosowanie przejściówek lub kart PCI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rPr>
          <w:trHeight w:val="113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Optyczna USB z rolką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scroll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rPr>
          <w:trHeight w:val="113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Klawiatura USB w układzie polski programisty 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96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Możliwość włączenia/wyłączenia karty sieciowej, portów USB z poziomu BIOS bez uruchamiania systemu operacyjnego;</w:t>
            </w:r>
          </w:p>
          <w:p w:rsidR="00084805" w:rsidRDefault="00B91695" w:rsidP="00F84B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96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Możliwość startu systemu z urządzeń USB;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rPr>
          <w:trHeight w:val="731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Głośność i certyfikaty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Certyfikaty ISO 9001 oraz 14001 dla producenta komputera </w:t>
            </w:r>
          </w:p>
          <w:p w:rsidR="00084805" w:rsidRDefault="00B91695" w:rsidP="00F84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Deklaracja zgodności CE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załączyć do oferty)</w:t>
            </w:r>
          </w:p>
          <w:p w:rsidR="00084805" w:rsidRPr="00F84B98" w:rsidRDefault="00B91695" w:rsidP="00F84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Energy Star, poprawna współpraca z zaoferowanym systemem operacyjnym - w formie oświadczenia producenta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załączyć do oferty)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numPr>
                <w:ilvl w:val="0"/>
                <w:numId w:val="1"/>
              </w:numPr>
              <w:spacing w:after="0" w:line="240" w:lineRule="auto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4 USB z przodu obudowy, w tym min 2x USB 3.0</w:t>
            </w:r>
          </w:p>
          <w:p w:rsidR="00084805" w:rsidRDefault="00B91695" w:rsidP="00F84B98">
            <w:pPr>
              <w:numPr>
                <w:ilvl w:val="0"/>
                <w:numId w:val="1"/>
              </w:numPr>
              <w:spacing w:after="0" w:line="240" w:lineRule="auto"/>
              <w:ind w:left="150" w:hanging="142"/>
              <w:contextualSpacing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komputer musi być wyposażony w system diagnostyczny, służący do sygnalizowania i diagnozowania problemów z komputerem i jego komponentami; a w szczególności musi sygnalizować:</w:t>
            </w:r>
          </w:p>
          <w:p w:rsidR="00084805" w:rsidRDefault="00B91695" w:rsidP="00F84B98">
            <w:pPr>
              <w:numPr>
                <w:ilvl w:val="0"/>
                <w:numId w:val="4"/>
              </w:numPr>
              <w:spacing w:after="0" w:line="240" w:lineRule="auto"/>
              <w:ind w:left="211" w:hanging="142"/>
              <w:contextualSpacing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przebieg procedury POST,</w:t>
            </w:r>
          </w:p>
          <w:p w:rsidR="00084805" w:rsidRDefault="00B91695" w:rsidP="00F84B98">
            <w:pPr>
              <w:numPr>
                <w:ilvl w:val="0"/>
                <w:numId w:val="4"/>
              </w:numPr>
              <w:spacing w:after="0" w:line="240" w:lineRule="auto"/>
              <w:ind w:left="211" w:hanging="14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sum kontrolnych BIOS,</w:t>
            </w:r>
          </w:p>
          <w:p w:rsidR="00084805" w:rsidRDefault="00B91695" w:rsidP="00F84B98">
            <w:pPr>
              <w:numPr>
                <w:ilvl w:val="0"/>
                <w:numId w:val="4"/>
              </w:numPr>
              <w:spacing w:after="0" w:line="240" w:lineRule="auto"/>
              <w:ind w:left="211" w:hanging="14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awarii procesora lub pamięci podręcznej procesora,</w:t>
            </w:r>
          </w:p>
          <w:p w:rsidR="00084805" w:rsidRDefault="00B91695" w:rsidP="00F84B98">
            <w:pPr>
              <w:numPr>
                <w:ilvl w:val="0"/>
                <w:numId w:val="4"/>
              </w:numPr>
              <w:spacing w:after="0" w:line="240" w:lineRule="auto"/>
              <w:ind w:left="211" w:hanging="14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uszkodzenia lub braku pamięci RAM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B91695" w:rsidP="00F84B98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Producent i model obudowy ……………….</w:t>
            </w:r>
          </w:p>
        </w:tc>
      </w:tr>
      <w:tr w:rsidR="00084805" w:rsidTr="00DA3BBD">
        <w:trPr>
          <w:trHeight w:val="315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lastRenderedPageBreak/>
              <w:t>Zabezpieczenie fizyczne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obudowa musi posiadać gniazdo zabezpieczenia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Kensington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 Lock lub równoważne, 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System operacyjny 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Zainstalowany system operacyjny niewymagający aktywacji za pomocą telefonu lub Internetu u producenta systemu - Microsoft Windows 10 Professional PL 64-bit lub równoważny. </w:t>
            </w:r>
          </w:p>
          <w:p w:rsidR="00084805" w:rsidRDefault="00B91695" w:rsidP="00F84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równoważności przedstawiono poniżej.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B91695" w:rsidP="00F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Producent i nazwa systemu operacyjnego ……………….</w:t>
            </w:r>
          </w:p>
        </w:tc>
      </w:tr>
      <w:tr w:rsidR="00084805" w:rsidTr="00DA3BBD"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Wsparcie techniczne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Na stronie internetowej producenta sprzętu muszą być dostępne:</w:t>
            </w:r>
          </w:p>
          <w:p w:rsidR="00084805" w:rsidRDefault="00B91695" w:rsidP="00F84B98">
            <w:pPr>
              <w:numPr>
                <w:ilvl w:val="0"/>
                <w:numId w:val="2"/>
              </w:numPr>
              <w:tabs>
                <w:tab w:val="clear" w:pos="720"/>
                <w:tab w:val="left" w:pos="636"/>
              </w:tabs>
              <w:spacing w:after="0" w:line="240" w:lineRule="auto"/>
              <w:ind w:left="211" w:hanging="142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informacje techniczne dotyczące oferowanego produktu;</w:t>
            </w:r>
          </w:p>
          <w:p w:rsidR="00084805" w:rsidRDefault="00B91695" w:rsidP="00F84B98">
            <w:pPr>
              <w:numPr>
                <w:ilvl w:val="0"/>
                <w:numId w:val="2"/>
              </w:numPr>
              <w:tabs>
                <w:tab w:val="clear" w:pos="720"/>
                <w:tab w:val="left" w:pos="636"/>
              </w:tabs>
              <w:spacing w:after="0" w:line="240" w:lineRule="auto"/>
              <w:ind w:left="211" w:hanging="142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najnowsze sterowniki i uaktualnienia (dostęp do nich musi być realizowany poprzez podanie na dedykowanej stronie internetowej producenta numeru seryjnego lub modelu komputera);</w:t>
            </w:r>
          </w:p>
          <w:p w:rsidR="00084805" w:rsidRDefault="00084805" w:rsidP="00F84B98">
            <w:pPr>
              <w:tabs>
                <w:tab w:val="left" w:pos="636"/>
              </w:tabs>
              <w:spacing w:after="0" w:line="240" w:lineRule="auto"/>
              <w:ind w:left="789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B91695" w:rsidP="00F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84805" w:rsidTr="00DA3BBD">
        <w:trPr>
          <w:trHeight w:val="389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Pr="004C3DD8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pl-PL"/>
              </w:rPr>
            </w:pPr>
            <w:r w:rsidRPr="004C3DD8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pl-PL"/>
              </w:rPr>
              <w:t>Monitor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Pr="004C3DD8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pl-PL"/>
              </w:rPr>
            </w:pPr>
            <w:r w:rsidRPr="004C3DD8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pl-PL"/>
              </w:rPr>
              <w:t>Atrybuty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Producent i model monitora …………..</w:t>
            </w:r>
          </w:p>
        </w:tc>
      </w:tr>
      <w:tr w:rsidR="00DA3BBD" w:rsidTr="00DA3BBD"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DA3BBD" w:rsidRDefault="00DA3BBD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Przekątna ekranu </w:t>
            </w:r>
          </w:p>
        </w:tc>
        <w:tc>
          <w:tcPr>
            <w:tcW w:w="2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right w:w="57" w:type="dxa"/>
            </w:tcMar>
          </w:tcPr>
          <w:p w:rsidR="00DA3BBD" w:rsidRDefault="00DA3BBD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pl-PL"/>
              </w:rPr>
              <w:t>20 sztuk - Min. 21,5”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3BBD" w:rsidRDefault="00DA3BBD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pl-PL"/>
              </w:rPr>
              <w:t>1 sztuka - Min. 23”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3BBD" w:rsidRDefault="00DA3BBD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</w:p>
        </w:tc>
      </w:tr>
      <w:tr w:rsidR="00DA3BBD" w:rsidTr="00DA3BBD"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DA3BBD" w:rsidRDefault="00DA3BBD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Rodzaj wyświetlacza</w:t>
            </w:r>
          </w:p>
        </w:tc>
        <w:tc>
          <w:tcPr>
            <w:tcW w:w="2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right w:w="57" w:type="dxa"/>
            </w:tcMar>
          </w:tcPr>
          <w:p w:rsidR="00DA3BBD" w:rsidRDefault="00DA3BBD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pl-PL"/>
              </w:rPr>
              <w:t xml:space="preserve">20 sztuk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TFT TN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3BBD" w:rsidRDefault="00DA3BBD" w:rsidP="00DA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pl-PL"/>
              </w:rPr>
              <w:t xml:space="preserve">1 sztuka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pl-PL"/>
              </w:rPr>
              <w:t>– TFT IPS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3BBD" w:rsidRDefault="00DA3BBD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rPr>
          <w:trHeight w:val="20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Technologia podświetlenia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LED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rPr>
          <w:trHeight w:val="20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Czas reakcji matrycy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maks. 5 ms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rPr>
          <w:trHeight w:val="20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min. 200 cd/m2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rPr>
          <w:trHeight w:val="438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Częstotliwość odświeżania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min.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rPr>
          <w:trHeight w:val="120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min.  1x D-SUB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084805" w:rsidTr="00DA3BBD">
        <w:trPr>
          <w:trHeight w:val="471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Kąt widzenia pion/poziom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min. 90/65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rPr>
          <w:trHeight w:val="496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Liczba kolorów obrazu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min. 16.7 mln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rPr>
          <w:trHeight w:val="20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Rozdzielczość 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1920x1080 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rPr>
          <w:trHeight w:val="20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Pochylenie monitora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w zakresie od 15 do -5 stopni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84805" w:rsidTr="00DA3BBD">
        <w:trPr>
          <w:trHeight w:val="20"/>
        </w:trPr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CE</w:t>
            </w:r>
          </w:p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FCC</w:t>
            </w:r>
          </w:p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Rohs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compliant</w:t>
            </w:r>
            <w:proofErr w:type="spellEnd"/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  <w:tr w:rsidR="00084805" w:rsidTr="00DA3BBD">
        <w:tc>
          <w:tcPr>
            <w:tcW w:w="1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084805" w:rsidRDefault="00B91695" w:rsidP="00F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Gwarancja na zestaw</w:t>
            </w:r>
          </w:p>
        </w:tc>
        <w:tc>
          <w:tcPr>
            <w:tcW w:w="5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57" w:type="dxa"/>
            </w:tcMar>
          </w:tcPr>
          <w:p w:rsidR="00084805" w:rsidRDefault="00B91695" w:rsidP="00F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Gwarancja 3 lata od daty sprzedaży </w:t>
            </w:r>
          </w:p>
        </w:tc>
        <w:tc>
          <w:tcPr>
            <w:tcW w:w="2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805" w:rsidRDefault="00084805" w:rsidP="00F8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</w:tr>
    </w:tbl>
    <w:p w:rsidR="00084805" w:rsidRDefault="00B91695">
      <w:pPr>
        <w:spacing w:before="280" w:after="28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 xml:space="preserve">System operacyjny – Parametry równoważności. </w:t>
      </w:r>
    </w:p>
    <w:tbl>
      <w:tblPr>
        <w:tblW w:w="53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93"/>
        <w:gridCol w:w="7983"/>
      </w:tblGrid>
      <w:tr w:rsidR="00084805" w:rsidTr="00DA3BBD">
        <w:trPr>
          <w:trHeight w:val="28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05" w:rsidRDefault="00B91695" w:rsidP="00DA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05" w:rsidRDefault="00B91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 klasy PC musi spełniać następujące wymagania poprzez wbudowane mechanizmy, bez użycia dodatkowych aplikacji: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Dostępne dwa rodzaje graficznego interfejsu użytkownika: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Klasyczny, umożliwiający obsługę przy pomocy klawiatury i myszy,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Dotykowy umożliwiający sterowanie dotykiem na urządzeniach typu tablet lub monitorach dotykowych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Interfejs użytkownika dostępny w wielu językach do wyboru – w tym polskim i angielskim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Wbudowane w system operacyjny minimum dwie przeglądarki Internetowe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Zlokalizowane w języku polskim, co najmniej następujące elementy: menu, pomoc, komunikaty systemowe, menedżer plików.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Graficzne środowisko instalacji i konfiguracji dostępne w języku polskim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Wbudowany system pomocy w języku polskim.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przystosowania stanowiska dla osób niepełnosprawnych (np. słabo widzących).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dokonywania aktualizacji i poprawek systemu poprzez mechanizm zarządzany przez administratora systemu Zamawiającego.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Możliwość dostarczania poprawek do systemu operacyjnego w modelu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-to-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dołączenia systemu do usługi katalogowej on-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premise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w chmurze.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Umożliwienie zablokowania urządzenia w ramach danego konta tylko do uruchamiania wybranej aplikacji - tryb "kiosk".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Transakcyjny system plików pozwalający na stosowanie przydziałów (ang.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przywracania obrazu plików systemowych do uprzednio zapisanej postaci.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przywracania systemu operacyjnego do stanu początkowego z pozostawieniem plików użytkownika.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Wbudowany mechanizm wirtualizacji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Hypervisor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."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Wbudowana możliwość zdalnego dostępu do systemu i pracy zdalnej z wykorzystaniem pełnego interfejsu graficznego.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Dostępność bezpłatnych biuletynów bezpieczeństwa związanych z działaniem systemu operacyjnego.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Wbudowany system uwierzytelnienia dwuskładnikowego oparty o certyfikat lub klucz prywatny oraz PIN lub uwierzytelnienie biometryczne.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Wbudowane mechanizmy ochrony antywirusowej i przeciw złośliwemu oprogramowaniu z zapewnionymi bezpłatnymi aktualizacjami.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Wbudowany system szyfrowania dysku twardego ze wsparciem modułu TPM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tworzenia i przechowywania kopii zapasowych kluczy odzyskiwania do szyfrowania dysku w usługach katalogowych.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Możliwość tworzenia wirtualnych kart inteligentnych.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Wsparcie dla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firmware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UEFI i funkcji bezpiecznego rozruchu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Wbudowany w system, wykorzystywany automatycznie przez wbudowane przeglądarki filtr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reputacyjny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URL.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Mechanizmy logowania w oparciu o: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Login i hasło,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Karty inteligentne i certyfikaty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smartcard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Wirtualne karty inteligentne i certyfikaty (logowanie w oparciu o certyfikat chroniony poprzez moduł TPM),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Certyfikat/Klucz i PIN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Certyfikat/Klucz i uwierzytelnienie biometryczne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Wsparcie dla uwierzytelniania na bazie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Kerberos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v. 5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Wbudowany agent do zbierania danych na temat zagrożeń na stacji roboczej.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Wsparcie .NET Framework 2.x, 3.x i 4.x – możliwość uruchomienia aplikacji działających we wskazanych środowiskach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Wsparcie dla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VBScript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możliwość uruchamiania interpretera poleceń</w:t>
            </w:r>
          </w:p>
          <w:p w:rsidR="00084805" w:rsidRDefault="00B91695" w:rsidP="004C3DD8">
            <w:pPr>
              <w:spacing w:after="0" w:line="240" w:lineRule="auto"/>
              <w:ind w:left="399" w:hanging="39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Wsparcie dla PowerShell 5.x – możliwość uruchamiania interpretera poleceń </w:t>
            </w:r>
          </w:p>
        </w:tc>
      </w:tr>
    </w:tbl>
    <w:p w:rsidR="00084805" w:rsidRDefault="00B91695">
      <w:pPr>
        <w:spacing w:before="280" w:after="280" w:line="240" w:lineRule="auto"/>
        <w:rPr>
          <w:rFonts w:ascii="Times New Roman" w:hAnsi="Times New Roman" w:cs="Times New Roman"/>
          <w:b/>
          <w:color w:val="0C0C0C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color w:val="0C0C0C"/>
          <w:sz w:val="20"/>
          <w:szCs w:val="20"/>
          <w:lang w:eastAsia="pl-PL"/>
        </w:rPr>
        <w:lastRenderedPageBreak/>
        <w:t xml:space="preserve">I.2.– Oprogramowanie pakiet biurowy. </w:t>
      </w:r>
    </w:p>
    <w:p w:rsidR="00084805" w:rsidRDefault="00B91695">
      <w:pPr>
        <w:spacing w:before="280" w:after="280" w:line="240" w:lineRule="auto"/>
      </w:pPr>
      <w:r>
        <w:rPr>
          <w:rFonts w:ascii="Times New Roman" w:hAnsi="Times New Roman" w:cs="Times New Roman"/>
          <w:b/>
          <w:sz w:val="20"/>
          <w:szCs w:val="20"/>
          <w:highlight w:val="white"/>
          <w:lang w:eastAsia="pl-PL"/>
        </w:rPr>
        <w:t xml:space="preserve">Microsoft Office 2019 PL Professional lub równoważna (wersja edukacyjna bezterminowa) - </w:t>
      </w:r>
      <w:r w:rsidR="003A11E1">
        <w:rPr>
          <w:rFonts w:ascii="Times New Roman" w:hAnsi="Times New Roman" w:cs="Times New Roman"/>
          <w:b/>
          <w:color w:val="0C0C0C"/>
          <w:sz w:val="20"/>
          <w:szCs w:val="20"/>
          <w:lang w:eastAsia="pl-PL"/>
        </w:rPr>
        <w:t>21</w:t>
      </w:r>
      <w:r>
        <w:rPr>
          <w:rFonts w:ascii="Times New Roman" w:hAnsi="Times New Roman" w:cs="Times New Roman"/>
          <w:b/>
          <w:color w:val="0C0C0C"/>
          <w:sz w:val="20"/>
          <w:szCs w:val="20"/>
          <w:lang w:eastAsia="pl-PL"/>
        </w:rPr>
        <w:t xml:space="preserve"> sztuk </w:t>
      </w:r>
    </w:p>
    <w:p w:rsidR="00084805" w:rsidRDefault="00B91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I.2.1. Dostawa licencji oprogramowania Microsoft Office na </w:t>
      </w:r>
      <w:r w:rsidR="004C3DD8">
        <w:rPr>
          <w:rFonts w:ascii="Times New Roman" w:hAnsi="Times New Roman" w:cs="Times New Roman"/>
          <w:sz w:val="20"/>
          <w:szCs w:val="20"/>
          <w:lang w:eastAsia="pl-PL"/>
        </w:rPr>
        <w:t>21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stanowisk określonej w Załączniku nr 1. </w:t>
      </w:r>
    </w:p>
    <w:p w:rsidR="00084805" w:rsidRDefault="00B91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I.2.2. W celu utrzymania standaryzacji oprogramowania i pełnej jego kompatybilności, w opisie przedmiotu zamówienia wskazano znak towarowy firmy Microsoft. </w:t>
      </w:r>
    </w:p>
    <w:p w:rsidR="00084805" w:rsidRDefault="00B91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I.2.3. W oparciu o art. 29 ust. 3 Ustawy z dnia 29.01.2004 r. Prawo zamówień publicznych wskazano w Załączniku nr 1, znak towarowy firmy Microsoft jako wzorzec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funkcjonalno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jakościowy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przedmiotu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zamówienia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. Oznacza to tym samym,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że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Zamawiający dopuszcza złożenie oferty na oprogramowanie służące do tworzenia i edycji dokumentów, o parametrach funkcjonalnych i jakościowych tożsamych z parametrami oprogramowania określonego we wzorcu, o ile jednocześnie zostaną̨  zachowane pozostałe wymagania, określone w zapytaniu i zaoferowane oprogramowanie będzie w pełni i poprawnie funkcjonowało z posiadanym i użytkowanym przez Zamawiającego </w:t>
      </w:r>
    </w:p>
    <w:p w:rsidR="00084805" w:rsidRDefault="00B91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I.2.4 Oprogramowanie musi być́ dostarczone wraz ze stosownymi, oryginalnymi atrybutami legalności stosowanymi przez </w:t>
      </w:r>
    </w:p>
    <w:p w:rsidR="00084805" w:rsidRDefault="00B91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producenta oprogramowania stosowną do dostarczanej wersji. </w:t>
      </w:r>
    </w:p>
    <w:p w:rsidR="00084805" w:rsidRDefault="00B91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I.2.5 Zamawiający przewiduje możliwość zastosowania procedury sprawdzającej legalność oprogramowania. </w:t>
      </w:r>
    </w:p>
    <w:p w:rsidR="004C3DD8" w:rsidRPr="004C3DD8" w:rsidRDefault="004C3DD8">
      <w:pPr>
        <w:rPr>
          <w:rFonts w:ascii="Times New Roman" w:hAnsi="Times New Roman" w:cs="Times New Roman"/>
          <w:b/>
          <w:color w:val="0D0D0D"/>
          <w:sz w:val="10"/>
          <w:szCs w:val="10"/>
        </w:rPr>
      </w:pPr>
    </w:p>
    <w:p w:rsidR="00084805" w:rsidRDefault="00B91695">
      <w:pPr>
        <w:rPr>
          <w:rFonts w:ascii="Times New Roman" w:hAnsi="Times New Roman" w:cs="Times New Roman"/>
          <w:b/>
          <w:color w:val="0D0D0D"/>
          <w:sz w:val="20"/>
          <w:szCs w:val="20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</w:rPr>
        <w:t>Parametry równoważności:</w:t>
      </w:r>
    </w:p>
    <w:tbl>
      <w:tblPr>
        <w:tblW w:w="9496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60" w:type="dxa"/>
        </w:tblCellMar>
        <w:tblLook w:val="0000" w:firstRow="0" w:lastRow="0" w:firstColumn="0" w:lastColumn="0" w:noHBand="0" w:noVBand="0"/>
      </w:tblPr>
      <w:tblGrid>
        <w:gridCol w:w="9496"/>
      </w:tblGrid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Wymagania minimalne dla oprogramowania: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edytor tekstu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arkusz kalkulacyjny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program do tworzenia prezentacji.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program do tworzenia wykresów i rysunków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program bazodanowy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edytor równań matematycznych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zapis do formatu PDF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Wymagania odnośnie interfejsu użytkownika: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Pełna polska wersja językowa interfejsu użytkownika.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Prostota i intuicyjność obsługi, pozwalająca na pracę osobom nieposiadającym umiejętności technicznych.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Oprogramowanie musi umożliwiać tworzenie i edycję dokumentów elektronicznych w ustalonym formacie, który spełnia następujące warunki: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posiada kompletny i publicznie dostępny opis formatu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ma zdefiniowany układ informacji w postaci XML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W skład oprogramowania muszą wchodzić narzędzia programistyczne umożliwiające automatyzację pracy (język makropoleceń, język skryptowy).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Edytor tekstów musi umożliwiać: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Edycję i formatowanie tekstu w języku polskim wraz z obsługą języka polskiego w zakresie sprawdzania pisowni i poprawności gramatycznej oraz funkcjonalnością słownika wyrazów bliskoznacznych i autokorekty.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Wstawianie oraz formatowanie tabel.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 Wstawianie oraz formatowanie obiektów graficznych.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d) Wstawianie wykresów i tabel z arkusza kalkulacyjnego.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e) Automatyczne numerowanie rozdziałów, punktów, akapitów, tabel i rysunków.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f) Automatyczne tworzenie spisów treści.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g) Formatowanie nagłówków i stopek stron.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h) Sprawdzanie pisowni w języku polskim.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i) Śledzenie zmian wprowadzonych przez użytkowników.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j) Nagrywanie, tworzenie i edycję makr.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k) Określenie układu strony (pionowa/pozioma).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l) Wydruk dokumentów.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m) Pełną kompatybilność z dokumentami utworzonymi przy pomocy Microsoft Word 2003 oraz Microsoft Word 2007, 2010, 2013, 2016 i 2019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n) Zabezpieczenie dokumentów hasłem przed odczytem oraz przed wprowadzaniem modyfikacji.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Arkusz kalkulacyjny musi umożliwiać: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Tworzenie raportów tabelarycznych.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Tworzenie wykresów liniowych, słupkowych, kołowych.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 Tworzenie arkuszy kalkulacyjnych zawierających teksty, dane liczbowe oraz formuły przeprowadzające operacje matematyczne, logiczne, tekstowe, statystyczne oraz operacje na danych finansowych i na miarach czasu.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d) Tworzenie raportów z zewnętrznych źródeł danych (inne arkusze kalkulacyjne, bazy danych zgodne, pliki tekstowe, pliki XML,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webservice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e) Tworzenie raportów tabeli przestawnych umożliwiających dynamiczną zmianę wymiarów oraz wykresów.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f) Wyszukiwanie i zamianę danych.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g) Wykonywanie analiz danych przy użyciu formatowania warunkowego.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h) Nazywanie komórek arkusza i odwoływanie się w formułach po takiej nazwie.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i) Nagrywanie, tworzenie i edycję makr automatyzujących wykonywanie czynności.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j) Formatowanie czasu, daty i wartości finansowych z polskim formatem.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k) Zapis wielu arkuszy kalkulacyjnych w jednym pliku.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l) Pełną kompatybilność z dokumentami utworzonymi przy pomocy Microsoft Excel 2003 oraz Microsoft Excel 2007, 2010, 2013, 2016 i 2019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m) Zabezpieczenie dokumentów hasłem przed odczytem oraz przed wprowadzaniem modyfikacji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Narzędzie do przygotowywania i prowadzenia prezentacji musi umożliwiać: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Przygotowywanie prezentacji multimedialnych.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Prezentowanie przy użyciu projektora multimedialnego.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 Drukowanie w formacie umożliwiającym robienie notatek.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e) Opatrywanie slajdów notatkami dla prezentera.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f) Umieszczanie i formatowanie tekstów, obiektów graficznych, tabel, nagrań dźwiękowych i wideo.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g) Umieszczanie tabel i wykresów pochodzących z arkusza kalkulacyjnego.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h) Możliwość tworzenia animacji obiektów i całych slajdów.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i) Prowadzenie prezentacji w trybie prezentera, gdzie slajdy są widoczne na jednym monitorze lub projektorze, a na drugim widoczne są slajdy i notatki prezentera.</w:t>
            </w:r>
          </w:p>
        </w:tc>
      </w:tr>
      <w:tr w:rsidR="00084805">
        <w:trPr>
          <w:trHeight w:val="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4805" w:rsidRDefault="00B9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j) Pełną kompatybilność z dokumentami utworzonymi przy pomocy Microsoft PowerPoint 2003 oraz Microsoft PowerPoint 2007, 2010, 2013, 2016 i 2019</w:t>
            </w:r>
          </w:p>
        </w:tc>
      </w:tr>
    </w:tbl>
    <w:p w:rsidR="00DA3BBD" w:rsidRDefault="00DA3BBD" w:rsidP="003A11E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3A11E1" w:rsidRPr="00936769" w:rsidRDefault="003A11E1" w:rsidP="003A11E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93676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I.3 Oprogramowanie graficzne </w:t>
      </w:r>
    </w:p>
    <w:p w:rsidR="003A11E1" w:rsidRPr="00936769" w:rsidRDefault="003A11E1" w:rsidP="003A11E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3A11E1" w:rsidRDefault="003A11E1" w:rsidP="003A11E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proofErr w:type="spellStart"/>
      <w:r w:rsidRPr="009367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CorelDRAW</w:t>
      </w:r>
      <w:proofErr w:type="spellEnd"/>
      <w:r w:rsidRPr="009367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Graphics Suite 2019 PL edukacyjna</w:t>
      </w:r>
      <w:r w:rsidRPr="0093676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(licencja bezterminowa) lub równoważne –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21</w:t>
      </w:r>
      <w:r w:rsidRPr="0093676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licencji;</w:t>
      </w:r>
    </w:p>
    <w:p w:rsidR="003A11E1" w:rsidRPr="00936769" w:rsidRDefault="003A11E1" w:rsidP="003A1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676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</w:p>
    <w:p w:rsidR="003A11E1" w:rsidRPr="00936769" w:rsidRDefault="003A11E1" w:rsidP="003A11E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93676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Wymagania dla oprogramowania równoważnego:</w:t>
      </w:r>
    </w:p>
    <w:p w:rsidR="003A11E1" w:rsidRPr="00936769" w:rsidRDefault="003A11E1" w:rsidP="003A11E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367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projektowania grafiki wektorowej i przygotowywania układu stron</w:t>
      </w:r>
    </w:p>
    <w:p w:rsidR="003A11E1" w:rsidRPr="00936769" w:rsidRDefault="003A11E1" w:rsidP="003A11E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367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edycji zdjęć, ich retuszowania, usuwania niedoskonałości oraz modyfikowania</w:t>
      </w:r>
    </w:p>
    <w:p w:rsidR="003A11E1" w:rsidRPr="00936769" w:rsidRDefault="003A11E1" w:rsidP="003A11E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367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porządkowania, wyszukiwania i zarządzania czcionkami TrueType i OpenType, wyświetlania ich podglądów i stosowania bez konieczności ich instalacji</w:t>
      </w:r>
    </w:p>
    <w:p w:rsidR="003A11E1" w:rsidRPr="00936769" w:rsidRDefault="003A11E1" w:rsidP="003A11E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367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narzędzie wbudowane pozwala precyzyjnie przekształcać mapy bitowe w edytowalne grafiki wektorowe</w:t>
      </w:r>
    </w:p>
    <w:p w:rsidR="003A11E1" w:rsidRPr="00936769" w:rsidRDefault="003A11E1" w:rsidP="003A11E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367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narzędzie wbudowane pełnoekranowa wyszukiwarka ułatwiająca dostęp do zasobów cyfrowych</w:t>
      </w:r>
    </w:p>
    <w:p w:rsidR="003A11E1" w:rsidRPr="00936769" w:rsidRDefault="003A11E1" w:rsidP="003A11E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367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przechwytywania obrazów z ekranu komputera jednym kliknięciem</w:t>
      </w:r>
    </w:p>
    <w:p w:rsidR="003A11E1" w:rsidRPr="00936769" w:rsidRDefault="003A11E1" w:rsidP="003A11E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367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aplikacja do tworzenia projektu graficznego za pośrednictwem przeglądarki internetowej</w:t>
      </w:r>
    </w:p>
    <w:p w:rsidR="003A11E1" w:rsidRPr="00936769" w:rsidRDefault="003A11E1" w:rsidP="003A11E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367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szybkiego udoskonalania zdjęć w formacie RAW lub JPEG (w tym automatycznych jednoczesnych poprawek w tysiącach zdjęć) oraz tworzenia zdjęć HDR</w:t>
      </w:r>
    </w:p>
    <w:p w:rsidR="003A11E1" w:rsidRPr="00936769" w:rsidRDefault="003A11E1" w:rsidP="003A11E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367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eksportowania i powiększania obrazów cyfrowych</w:t>
      </w:r>
    </w:p>
    <w:p w:rsidR="00084805" w:rsidRDefault="00084805">
      <w:pPr>
        <w:spacing w:after="0" w:line="240" w:lineRule="auto"/>
      </w:pPr>
    </w:p>
    <w:sectPr w:rsidR="00084805" w:rsidSect="00DA3BBD">
      <w:headerReference w:type="default" r:id="rId8"/>
      <w:pgSz w:w="11906" w:h="16838"/>
      <w:pgMar w:top="851" w:right="1417" w:bottom="993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B2" w:rsidRDefault="00150EB2">
      <w:pPr>
        <w:spacing w:after="0" w:line="240" w:lineRule="auto"/>
      </w:pPr>
      <w:r>
        <w:separator/>
      </w:r>
    </w:p>
  </w:endnote>
  <w:endnote w:type="continuationSeparator" w:id="0">
    <w:p w:rsidR="00150EB2" w:rsidRDefault="0015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B2" w:rsidRDefault="00150EB2">
      <w:pPr>
        <w:spacing w:after="0" w:line="240" w:lineRule="auto"/>
      </w:pPr>
      <w:r>
        <w:separator/>
      </w:r>
    </w:p>
  </w:footnote>
  <w:footnote w:type="continuationSeparator" w:id="0">
    <w:p w:rsidR="00150EB2" w:rsidRDefault="0015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05" w:rsidRDefault="00084805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091D"/>
    <w:multiLevelType w:val="multilevel"/>
    <w:tmpl w:val="C2827A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ED3719"/>
    <w:multiLevelType w:val="hybridMultilevel"/>
    <w:tmpl w:val="049AF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B6248D"/>
    <w:multiLevelType w:val="multilevel"/>
    <w:tmpl w:val="F166A08A"/>
    <w:lvl w:ilvl="0">
      <w:start w:val="1"/>
      <w:numFmt w:val="bullet"/>
      <w:lvlText w:val=""/>
      <w:lvlJc w:val="left"/>
      <w:pPr>
        <w:ind w:left="16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8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2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5F4FD2"/>
    <w:multiLevelType w:val="multilevel"/>
    <w:tmpl w:val="BE16C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49E5602"/>
    <w:multiLevelType w:val="multilevel"/>
    <w:tmpl w:val="CB5C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73043CF3"/>
    <w:multiLevelType w:val="multilevel"/>
    <w:tmpl w:val="D266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05"/>
    <w:rsid w:val="00084805"/>
    <w:rsid w:val="00150EB2"/>
    <w:rsid w:val="001E54DC"/>
    <w:rsid w:val="003A11E1"/>
    <w:rsid w:val="004C3DD8"/>
    <w:rsid w:val="00B91695"/>
    <w:rsid w:val="00CA5BA3"/>
    <w:rsid w:val="00DA3BBD"/>
    <w:rsid w:val="00F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E400A-73F2-4B32-8C57-17913FE2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80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is-attr">
    <w:name w:val="is-attr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8"/>
      <w:szCs w:val="18"/>
    </w:rPr>
  </w:style>
  <w:style w:type="character" w:customStyle="1" w:styleId="TekstkomentarzaZnak">
    <w:name w:val="Tekst komentarza Znak"/>
    <w:basedOn w:val="Domylnaczcionkaakapitu"/>
    <w:qFormat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qFormat/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0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0"/>
    </w:rPr>
  </w:style>
  <w:style w:type="character" w:customStyle="1" w:styleId="ListLabel29">
    <w:name w:val="ListLabel 29"/>
    <w:qFormat/>
    <w:rPr>
      <w:rFonts w:eastAsia="Times New Roman" w:cs="Arial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rFonts w:cs="Arial"/>
      <w:color w:val="000000"/>
      <w:sz w:val="16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eastAsia="Times New Roman" w:cs="Tahoma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eastAsia="Times New Roman" w:cs="Tahoma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character" w:customStyle="1" w:styleId="ListLabel183">
    <w:name w:val="ListLabel 183"/>
    <w:qFormat/>
    <w:rPr>
      <w:rFonts w:ascii="Times New Roman" w:hAnsi="Times New Roman" w:cs="Symbol"/>
      <w:sz w:val="20"/>
    </w:rPr>
  </w:style>
  <w:style w:type="character" w:customStyle="1" w:styleId="ListLabel184">
    <w:name w:val="ListLabel 184"/>
    <w:qFormat/>
    <w:rPr>
      <w:rFonts w:cs="Arial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ascii="Times New Roman" w:hAnsi="Times New Roman" w:cs="Symbol"/>
      <w:sz w:val="20"/>
    </w:rPr>
  </w:style>
  <w:style w:type="character" w:customStyle="1" w:styleId="ListLabel193">
    <w:name w:val="ListLabel 193"/>
    <w:qFormat/>
    <w:rPr>
      <w:rFonts w:cs="Arial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ascii="Times New Roman" w:hAnsi="Times New Roman" w:cs="Symbol"/>
      <w:sz w:val="20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Courier New"/>
      <w:sz w:val="20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opuplinkinline">
    <w:name w:val="js-popuplink_inline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paragraph" w:customStyle="1" w:styleId="Tabelapozycja">
    <w:name w:val="Tabela pozycja"/>
    <w:basedOn w:val="Normalny"/>
    <w:qFormat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2255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x</dc:creator>
  <dc:description/>
  <cp:lastModifiedBy>Marek</cp:lastModifiedBy>
  <cp:revision>4</cp:revision>
  <cp:lastPrinted>2019-11-04T13:07:00Z</cp:lastPrinted>
  <dcterms:created xsi:type="dcterms:W3CDTF">2019-12-12T20:23:00Z</dcterms:created>
  <dcterms:modified xsi:type="dcterms:W3CDTF">2019-12-13T16:36:00Z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